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92ECB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六、</w:t>
      </w:r>
      <w:r>
        <w:rPr>
          <w:rFonts w:hint="eastAsia"/>
        </w:rPr>
        <w:t>综合评审评分标准（总分100分</w:t>
      </w:r>
      <w:r>
        <w:rPr>
          <w:rFonts w:hint="eastAsia"/>
          <w:lang w:eastAsia="zh-CN"/>
        </w:rPr>
        <w:t>）</w:t>
      </w:r>
    </w:p>
    <w:p w14:paraId="72D99202">
      <w:pPr>
        <w:tabs>
          <w:tab w:val="left" w:pos="2312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tbl>
      <w:tblPr>
        <w:tblStyle w:val="2"/>
        <w:tblW w:w="8218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2255"/>
        <w:gridCol w:w="544"/>
        <w:gridCol w:w="4912"/>
      </w:tblGrid>
      <w:tr w14:paraId="44924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71B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602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评审项目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CF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49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567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评分细则</w:t>
            </w:r>
          </w:p>
        </w:tc>
      </w:tr>
      <w:tr w14:paraId="2C875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6D33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1B0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报价（结算规则承诺）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A6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5分</w:t>
            </w:r>
          </w:p>
        </w:tc>
        <w:tc>
          <w:tcPr>
            <w:tcW w:w="49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218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提供加盖公章的有效承诺函（格式自拟），完全接受本项目售价及8.8折结算规则，无条件服从合作模式得5分；未提供、不接受规则得0分，无效响应。</w:t>
            </w:r>
          </w:p>
        </w:tc>
      </w:tr>
      <w:tr w14:paraId="2CE9B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A6D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E0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企业资质与同类案例实力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E36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30分</w:t>
            </w:r>
          </w:p>
        </w:tc>
        <w:tc>
          <w:tcPr>
            <w:tcW w:w="49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DB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资质齐全、合规经营、团队完善得基础分；具备公立医院体检平台运营、科普推广、预约服务同类案例。1、每提供1份成功案例，得5分，最高得20分。2、质量优得10分，质量良得5分，质量一般得3分。</w:t>
            </w:r>
          </w:p>
        </w:tc>
      </w:tr>
      <w:tr w14:paraId="7C26B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1D7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FF6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平台技术能力与数据安全方案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8E1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30分</w:t>
            </w:r>
          </w:p>
        </w:tc>
        <w:tc>
          <w:tcPr>
            <w:tcW w:w="49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E9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平台功能成熟、系统稳定、适配医院体检业务；数据安全、隐私保护、数据备份、风险防控、对账导出、审计适配方案完善详实，根据完整性、可行性，等方面打分。</w:t>
            </w:r>
          </w:p>
        </w:tc>
      </w:tr>
      <w:tr w14:paraId="25F00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7D1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119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科普合规运营与推广服务方案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B8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25分</w:t>
            </w:r>
          </w:p>
        </w:tc>
        <w:tc>
          <w:tcPr>
            <w:tcW w:w="49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7BD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科普内容合规、贴合医院调性、无违规医疗宣传；推广方案合理、落地性强；线上咨询、预约售后、客户维护体系完善，服务号运营方案科学性，推广策略针对性，内容策划创新性，活动引流有效性综合打分。</w:t>
            </w:r>
          </w:p>
        </w:tc>
      </w:tr>
      <w:tr w14:paraId="0F890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09B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CEC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履约保障、价格管控及移交方案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7B2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49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3E1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具备完善的价格自律管控机制、月度对账结算机制、违约处置机制；合作到期后服务号账号、全部业务数据、客户资料可完整无偿移交，方案完善得满分。</w:t>
            </w:r>
          </w:p>
        </w:tc>
      </w:tr>
      <w:tr w14:paraId="1A89C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7E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E1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100分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56A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  <w:tc>
          <w:tcPr>
            <w:tcW w:w="49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D98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3EF1C6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4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2026-09-11T03:23:50Z</dcterms:created>
  <dc:creator>Administrator</dc:creator>
  <cp:lastModifiedBy>市医院健康管理部史扬雪</cp:lastModifiedBy>
  <dcterms:modified xsi:type="dcterms:W3CDTF">2026-09-11T03:24:29Z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eyJoZGlkIjoiZmEyMDcxNjYwNmVkNzdhNGEzNmEwYWZhMWUxOWVlMjUiLCJ1c2VySWQiOiIxNTg4NjI0NzgxIn0=</vt:lpwstr>
  </property>
  <property fmtid="{D5CDD505-2E9C-101B-9397-08002B2CF9AE}" pid="4" name="ICV">
    <vt:lpwstr>C4FDDDCC9F2D40818606FD1CBB1387E1_12</vt:lpwstr>
  </property>
</Properties>
</file>